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81" w:rsidRPr="0081414D" w:rsidRDefault="0081414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1414D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ENGESAHAN PENYERTAAN </w:t>
      </w:r>
      <w:r w:rsidRPr="0081414D">
        <w:rPr>
          <w:rFonts w:ascii="Arial" w:hAnsi="Arial" w:cs="Arial"/>
          <w:b/>
          <w:sz w:val="24"/>
          <w:szCs w:val="24"/>
        </w:rPr>
        <w:t xml:space="preserve"> ANUGERAH PENARAFAN BINTANG PENGURUSAN </w:t>
      </w:r>
      <w:r w:rsidR="00DD25F8">
        <w:rPr>
          <w:rFonts w:ascii="Arial" w:hAnsi="Arial" w:cs="Arial"/>
          <w:b/>
          <w:sz w:val="24"/>
          <w:szCs w:val="24"/>
        </w:rPr>
        <w:t xml:space="preserve">PENTADBIRAN </w:t>
      </w:r>
      <w:r w:rsidRPr="0081414D">
        <w:rPr>
          <w:rFonts w:ascii="Arial" w:hAnsi="Arial" w:cs="Arial"/>
          <w:b/>
          <w:sz w:val="24"/>
          <w:szCs w:val="24"/>
        </w:rPr>
        <w:t>2017- KATEGORI SUB-KOMPONEN JARINGAN KOMUNITI</w:t>
      </w:r>
    </w:p>
    <w:p w:rsidR="0081414D" w:rsidRPr="0081414D" w:rsidRDefault="0081414D">
      <w:pPr>
        <w:rPr>
          <w:rFonts w:ascii="Arial" w:hAnsi="Arial" w:cs="Arial"/>
          <w:b/>
          <w:sz w:val="24"/>
          <w:szCs w:val="24"/>
        </w:rPr>
      </w:pPr>
    </w:p>
    <w:p w:rsidR="0081414D" w:rsidRDefault="0081414D" w:rsidP="00DF0541">
      <w:pPr>
        <w:jc w:val="both"/>
        <w:rPr>
          <w:rFonts w:ascii="Arial" w:hAnsi="Arial" w:cs="Arial"/>
          <w:sz w:val="24"/>
          <w:szCs w:val="24"/>
        </w:rPr>
      </w:pPr>
      <w:r w:rsidRPr="0081414D">
        <w:rPr>
          <w:rFonts w:ascii="Arial" w:hAnsi="Arial" w:cs="Arial"/>
          <w:sz w:val="24"/>
          <w:szCs w:val="24"/>
        </w:rPr>
        <w:t>Dengan hormatnya dimaklumkan bahawa semua PTJ akan terlibat dengan Anugerah Penarafan Bintang Pengurusan sempena Hari Kualiti dan Inovasi Perkhidmatan 2017 (HKIP 2017)</w:t>
      </w:r>
      <w:r w:rsidR="00DD25F8">
        <w:rPr>
          <w:rFonts w:ascii="Arial" w:hAnsi="Arial" w:cs="Arial"/>
          <w:sz w:val="24"/>
          <w:szCs w:val="24"/>
        </w:rPr>
        <w:t xml:space="preserve"> yang diterajui oleh Pusat Jaminan Kualiti UPM</w:t>
      </w:r>
      <w:r w:rsidRPr="0081414D">
        <w:rPr>
          <w:rFonts w:ascii="Arial" w:hAnsi="Arial" w:cs="Arial"/>
          <w:sz w:val="24"/>
          <w:szCs w:val="24"/>
        </w:rPr>
        <w:t xml:space="preserve">. </w:t>
      </w:r>
      <w:r w:rsidR="00DD25F8">
        <w:rPr>
          <w:rFonts w:ascii="Arial" w:hAnsi="Arial" w:cs="Arial"/>
          <w:sz w:val="24"/>
          <w:szCs w:val="24"/>
        </w:rPr>
        <w:t>K</w:t>
      </w:r>
      <w:r w:rsidRPr="0081414D">
        <w:rPr>
          <w:rFonts w:ascii="Arial" w:hAnsi="Arial" w:cs="Arial"/>
          <w:sz w:val="24"/>
          <w:szCs w:val="24"/>
        </w:rPr>
        <w:t>omponen</w:t>
      </w:r>
      <w:r>
        <w:rPr>
          <w:rFonts w:ascii="Arial" w:hAnsi="Arial" w:cs="Arial"/>
          <w:sz w:val="24"/>
          <w:szCs w:val="24"/>
        </w:rPr>
        <w:t xml:space="preserve"> </w:t>
      </w:r>
      <w:r w:rsidR="00DD25F8">
        <w:rPr>
          <w:rFonts w:ascii="Arial" w:hAnsi="Arial" w:cs="Arial"/>
          <w:sz w:val="24"/>
          <w:szCs w:val="24"/>
        </w:rPr>
        <w:t xml:space="preserve">bagi penarafan ini terdiri dari </w:t>
      </w:r>
      <w:r w:rsidR="00DD25F8" w:rsidRPr="001F34FC">
        <w:rPr>
          <w:rFonts w:ascii="Arial" w:hAnsi="Arial" w:cs="Arial"/>
          <w:b/>
          <w:sz w:val="24"/>
          <w:szCs w:val="24"/>
        </w:rPr>
        <w:t xml:space="preserve">komponen pengurusan, </w:t>
      </w:r>
      <w:r w:rsidRPr="001F34FC">
        <w:rPr>
          <w:rFonts w:ascii="Arial" w:hAnsi="Arial" w:cs="Arial"/>
          <w:b/>
          <w:sz w:val="24"/>
          <w:szCs w:val="24"/>
        </w:rPr>
        <w:t xml:space="preserve">transformasi dan </w:t>
      </w:r>
      <w:r w:rsidR="00DD25F8" w:rsidRPr="001F34FC">
        <w:rPr>
          <w:rFonts w:ascii="Arial" w:hAnsi="Arial" w:cs="Arial"/>
          <w:b/>
          <w:sz w:val="24"/>
          <w:szCs w:val="24"/>
        </w:rPr>
        <w:t>pengurusan pelanggan</w:t>
      </w:r>
      <w:r w:rsidR="009A0A69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73"/>
        <w:gridCol w:w="2105"/>
        <w:gridCol w:w="656"/>
        <w:gridCol w:w="4024"/>
        <w:gridCol w:w="785"/>
      </w:tblGrid>
      <w:tr w:rsidR="00DD25F8" w:rsidTr="002E6043">
        <w:tc>
          <w:tcPr>
            <w:tcW w:w="973" w:type="dxa"/>
            <w:shd w:val="clear" w:color="auto" w:fill="B6DDE8" w:themeFill="accent5" w:themeFillTint="66"/>
          </w:tcPr>
          <w:p w:rsidR="00DD25F8" w:rsidRDefault="00DD25F8" w:rsidP="00DF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B6DDE8" w:themeFill="accent5" w:themeFillTint="66"/>
          </w:tcPr>
          <w:p w:rsidR="00DD25F8" w:rsidRDefault="00DD25F8" w:rsidP="00DF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Komponen</w:t>
            </w:r>
          </w:p>
          <w:p w:rsidR="00DF0541" w:rsidRDefault="00DF0541" w:rsidP="00DF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shd w:val="clear" w:color="auto" w:fill="B6DDE8" w:themeFill="accent5" w:themeFillTint="66"/>
          </w:tcPr>
          <w:p w:rsidR="00DD25F8" w:rsidRDefault="00DD25F8" w:rsidP="00DF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Sub-Komponen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DD25F8" w:rsidRDefault="00DD25F8" w:rsidP="00DF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F0541" w:rsidTr="002E6043">
        <w:tc>
          <w:tcPr>
            <w:tcW w:w="973" w:type="dxa"/>
            <w:vMerge w:val="restart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05" w:type="dxa"/>
            <w:vMerge w:val="restart"/>
            <w:vAlign w:val="center"/>
          </w:tcPr>
          <w:p w:rsidR="00DF0541" w:rsidRDefault="00DF0541" w:rsidP="00DF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Pengurusan (60%)</w:t>
            </w:r>
          </w:p>
        </w:tc>
        <w:tc>
          <w:tcPr>
            <w:tcW w:w="656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024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Indeks Akauntabiliti</w:t>
            </w:r>
          </w:p>
        </w:tc>
        <w:tc>
          <w:tcPr>
            <w:tcW w:w="785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F0541" w:rsidTr="002E6043">
        <w:tc>
          <w:tcPr>
            <w:tcW w:w="973" w:type="dxa"/>
            <w:vMerge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024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Pengurusan, Pembangunan dan Perkhidmatan Sumber Manusia</w:t>
            </w:r>
          </w:p>
        </w:tc>
        <w:tc>
          <w:tcPr>
            <w:tcW w:w="785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F0541" w:rsidTr="002E6043">
        <w:tc>
          <w:tcPr>
            <w:tcW w:w="973" w:type="dxa"/>
            <w:vMerge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024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Pengurusan Keselamatan dan Kesihatan pekerjaan</w:t>
            </w:r>
          </w:p>
        </w:tc>
        <w:tc>
          <w:tcPr>
            <w:tcW w:w="785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F0541" w:rsidTr="002E6043">
        <w:tc>
          <w:tcPr>
            <w:tcW w:w="973" w:type="dxa"/>
            <w:vMerge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024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Pengurusan Laman web</w:t>
            </w:r>
          </w:p>
        </w:tc>
        <w:tc>
          <w:tcPr>
            <w:tcW w:w="785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F0541" w:rsidTr="002E6043">
        <w:tc>
          <w:tcPr>
            <w:tcW w:w="973" w:type="dxa"/>
            <w:vMerge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024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Pengurusan Kualiti</w:t>
            </w:r>
          </w:p>
        </w:tc>
        <w:tc>
          <w:tcPr>
            <w:tcW w:w="785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F0541" w:rsidTr="002E6043">
        <w:tc>
          <w:tcPr>
            <w:tcW w:w="973" w:type="dxa"/>
            <w:vMerge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024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Putera Cipta (KPI UPM/Pelan Tindkaan Peringkat Fungsian dan Aras)</w:t>
            </w:r>
          </w:p>
        </w:tc>
        <w:tc>
          <w:tcPr>
            <w:tcW w:w="785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F0541" w:rsidTr="002E6043">
        <w:tc>
          <w:tcPr>
            <w:tcW w:w="973" w:type="dxa"/>
            <w:vMerge w:val="restart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05" w:type="dxa"/>
            <w:vMerge w:val="restart"/>
            <w:vAlign w:val="center"/>
          </w:tcPr>
          <w:p w:rsidR="00DF0541" w:rsidRDefault="00DF0541" w:rsidP="00DF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Transformasi (20%)</w:t>
            </w:r>
          </w:p>
        </w:tc>
        <w:tc>
          <w:tcPr>
            <w:tcW w:w="656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024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Pelaksanaan Inovasi dalam Perkhidmatan (mengambil kira pendekatan KIK/inovasi perkhidmatan/lean)</w:t>
            </w:r>
          </w:p>
        </w:tc>
        <w:tc>
          <w:tcPr>
            <w:tcW w:w="785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F0541" w:rsidTr="002E6043">
        <w:tc>
          <w:tcPr>
            <w:tcW w:w="973" w:type="dxa"/>
            <w:vMerge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024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Pelaksanaan amalan 5S/EKSA</w:t>
            </w:r>
          </w:p>
        </w:tc>
        <w:tc>
          <w:tcPr>
            <w:tcW w:w="785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F0541" w:rsidTr="002E6043">
        <w:tc>
          <w:tcPr>
            <w:tcW w:w="973" w:type="dxa"/>
            <w:vMerge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024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Pelaksanaan Jaringan Komuniti </w:t>
            </w:r>
            <w:r w:rsidRPr="002E6043">
              <w:rPr>
                <w:rFonts w:ascii="Arial" w:hAnsi="Arial" w:cs="Arial"/>
                <w:b/>
                <w:sz w:val="24"/>
                <w:szCs w:val="24"/>
              </w:rPr>
              <w:t xml:space="preserve">ATAU </w:t>
            </w:r>
            <w:r>
              <w:rPr>
                <w:rFonts w:ascii="Arial" w:hAnsi="Arial" w:cs="Arial"/>
                <w:sz w:val="24"/>
                <w:szCs w:val="24"/>
              </w:rPr>
              <w:t>Kelestarian Hijau</w:t>
            </w:r>
          </w:p>
        </w:tc>
        <w:tc>
          <w:tcPr>
            <w:tcW w:w="785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F0541" w:rsidTr="002E6043">
        <w:tc>
          <w:tcPr>
            <w:tcW w:w="973" w:type="dxa"/>
            <w:vMerge w:val="restart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05" w:type="dxa"/>
            <w:vMerge w:val="restart"/>
            <w:vAlign w:val="center"/>
          </w:tcPr>
          <w:p w:rsidR="00DF0541" w:rsidRDefault="00DF0541" w:rsidP="00DF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Pengurusan Pelanggan (20%)</w:t>
            </w:r>
          </w:p>
        </w:tc>
        <w:tc>
          <w:tcPr>
            <w:tcW w:w="656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024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Kajian Kepuasan Pelanggan</w:t>
            </w:r>
          </w:p>
        </w:tc>
        <w:tc>
          <w:tcPr>
            <w:tcW w:w="785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541" w:rsidTr="002E6043">
        <w:tc>
          <w:tcPr>
            <w:tcW w:w="973" w:type="dxa"/>
            <w:vMerge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024" w:type="dxa"/>
          </w:tcPr>
          <w:p w:rsidR="00DF0541" w:rsidRDefault="00DF0541" w:rsidP="00DF05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Pengendalian Maklum Balas Pelanggan Melalui U-Respons</w:t>
            </w:r>
          </w:p>
        </w:tc>
        <w:tc>
          <w:tcPr>
            <w:tcW w:w="785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541" w:rsidTr="002E6043">
        <w:tc>
          <w:tcPr>
            <w:tcW w:w="973" w:type="dxa"/>
            <w:vMerge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4024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Pencapaian Piagam Pelanggan</w:t>
            </w:r>
          </w:p>
        </w:tc>
        <w:tc>
          <w:tcPr>
            <w:tcW w:w="785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541" w:rsidTr="002E6043">
        <w:tc>
          <w:tcPr>
            <w:tcW w:w="973" w:type="dxa"/>
            <w:vMerge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4024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Pengendalian Telefon</w:t>
            </w:r>
          </w:p>
        </w:tc>
        <w:tc>
          <w:tcPr>
            <w:tcW w:w="785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541" w:rsidTr="002E6043">
        <w:tc>
          <w:tcPr>
            <w:tcW w:w="973" w:type="dxa"/>
            <w:vMerge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4024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Perkhidmatan Kaunter</w:t>
            </w:r>
          </w:p>
        </w:tc>
        <w:tc>
          <w:tcPr>
            <w:tcW w:w="785" w:type="dxa"/>
          </w:tcPr>
          <w:p w:rsidR="00DF0541" w:rsidRDefault="00DF0541" w:rsidP="008141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14D" w:rsidRDefault="0081414D">
      <w:pPr>
        <w:rPr>
          <w:rFonts w:ascii="Arial" w:hAnsi="Arial" w:cs="Arial"/>
          <w:b/>
          <w:sz w:val="24"/>
          <w:szCs w:val="24"/>
        </w:rPr>
      </w:pPr>
    </w:p>
    <w:p w:rsidR="00DF0541" w:rsidRDefault="00DF0541" w:rsidP="002E6043">
      <w:pPr>
        <w:jc w:val="both"/>
        <w:rPr>
          <w:rFonts w:ascii="Arial" w:hAnsi="Arial" w:cs="Arial"/>
          <w:sz w:val="24"/>
          <w:szCs w:val="24"/>
        </w:rPr>
      </w:pPr>
      <w:r w:rsidRPr="002E6043">
        <w:rPr>
          <w:rFonts w:ascii="Arial" w:hAnsi="Arial" w:cs="Arial"/>
          <w:sz w:val="24"/>
          <w:szCs w:val="24"/>
        </w:rPr>
        <w:t>Adala</w:t>
      </w:r>
      <w:r w:rsidR="002E6043">
        <w:rPr>
          <w:rFonts w:ascii="Arial" w:hAnsi="Arial" w:cs="Arial"/>
          <w:sz w:val="24"/>
          <w:szCs w:val="24"/>
        </w:rPr>
        <w:t>h dimaklumkan Pejabat Timbalan N</w:t>
      </w:r>
      <w:r w:rsidRPr="002E6043">
        <w:rPr>
          <w:rFonts w:ascii="Arial" w:hAnsi="Arial" w:cs="Arial"/>
          <w:sz w:val="24"/>
          <w:szCs w:val="24"/>
        </w:rPr>
        <w:t xml:space="preserve">aib Canselor (Jaringan Industri dan Masyarakat) merupakan sub-peneraju kepada penarafan bagi Komponen Transformasi di bawah sub-komponen/Kategori Jaringan Komuniti. </w:t>
      </w:r>
      <w:r w:rsidR="001F34FC">
        <w:rPr>
          <w:rFonts w:ascii="Arial" w:hAnsi="Arial" w:cs="Arial"/>
          <w:sz w:val="24"/>
          <w:szCs w:val="24"/>
        </w:rPr>
        <w:t xml:space="preserve"> </w:t>
      </w:r>
      <w:r w:rsidRPr="002E6043">
        <w:rPr>
          <w:rFonts w:ascii="Arial" w:hAnsi="Arial" w:cs="Arial"/>
          <w:sz w:val="24"/>
          <w:szCs w:val="24"/>
        </w:rPr>
        <w:t xml:space="preserve">Oleh yang demikian, Semua PTJ adalah </w:t>
      </w:r>
      <w:r w:rsidR="002E6043" w:rsidRPr="002E6043">
        <w:rPr>
          <w:rFonts w:ascii="Arial" w:hAnsi="Arial" w:cs="Arial"/>
          <w:sz w:val="24"/>
          <w:szCs w:val="24"/>
        </w:rPr>
        <w:t>dipelawa</w:t>
      </w:r>
      <w:r w:rsidRPr="002E6043">
        <w:rPr>
          <w:rFonts w:ascii="Arial" w:hAnsi="Arial" w:cs="Arial"/>
          <w:sz w:val="24"/>
          <w:szCs w:val="24"/>
        </w:rPr>
        <w:t xml:space="preserve"> </w:t>
      </w:r>
      <w:r w:rsidR="002E6043" w:rsidRPr="002E6043">
        <w:rPr>
          <w:rFonts w:ascii="Arial" w:hAnsi="Arial" w:cs="Arial"/>
          <w:sz w:val="24"/>
          <w:szCs w:val="24"/>
        </w:rPr>
        <w:t xml:space="preserve">untuk menyertai/atau memilih Sub-Komponen Jaringan Komuniti bagi memenuhi </w:t>
      </w:r>
      <w:r w:rsidR="002E6043">
        <w:rPr>
          <w:rFonts w:ascii="Arial" w:hAnsi="Arial" w:cs="Arial"/>
          <w:sz w:val="24"/>
          <w:szCs w:val="24"/>
        </w:rPr>
        <w:t xml:space="preserve">keperluan </w:t>
      </w:r>
      <w:r w:rsidR="002E6043" w:rsidRPr="002E6043">
        <w:rPr>
          <w:rFonts w:ascii="Arial" w:hAnsi="Arial" w:cs="Arial"/>
          <w:sz w:val="24"/>
          <w:szCs w:val="24"/>
        </w:rPr>
        <w:t>Komponen 2: Transformasi Penarafan Bintang Pengurusan Pentadbiran 2017</w:t>
      </w:r>
      <w:r w:rsidR="002E6043">
        <w:rPr>
          <w:rFonts w:ascii="Arial" w:hAnsi="Arial" w:cs="Arial"/>
          <w:sz w:val="24"/>
          <w:szCs w:val="24"/>
        </w:rPr>
        <w:t xml:space="preserve">. Semua PTJ dimohon mengesahkan penyertaan bagi kategori/Sub-Komponen jaringan Komuniti dengan mengemukakan borang pengesahan ke Pejabat </w:t>
      </w:r>
      <w:r w:rsidR="002E6043">
        <w:rPr>
          <w:rFonts w:ascii="Arial" w:hAnsi="Arial" w:cs="Arial"/>
          <w:sz w:val="24"/>
          <w:szCs w:val="24"/>
        </w:rPr>
        <w:lastRenderedPageBreak/>
        <w:t>Timbalan N</w:t>
      </w:r>
      <w:r w:rsidR="002E6043" w:rsidRPr="002E6043">
        <w:rPr>
          <w:rFonts w:ascii="Arial" w:hAnsi="Arial" w:cs="Arial"/>
          <w:sz w:val="24"/>
          <w:szCs w:val="24"/>
        </w:rPr>
        <w:t>aib Canselor (Jaringan Industri dan Masyarakat)</w:t>
      </w:r>
      <w:r w:rsidR="002E6043">
        <w:rPr>
          <w:rFonts w:ascii="Arial" w:hAnsi="Arial" w:cs="Arial"/>
          <w:sz w:val="24"/>
          <w:szCs w:val="24"/>
        </w:rPr>
        <w:t xml:space="preserve"> mulai 11 Ogos 2017 sehingga selewat-lewatnya pada 30 Ogos 2017. Untuk makluman, proses penilaian bagi Anugerah </w:t>
      </w:r>
      <w:r w:rsidR="002E6043" w:rsidRPr="002E6043">
        <w:rPr>
          <w:rFonts w:ascii="Arial" w:hAnsi="Arial" w:cs="Arial"/>
          <w:sz w:val="24"/>
          <w:szCs w:val="24"/>
        </w:rPr>
        <w:t>Penarafan Bintang Pengurusan Pentadbiran 2017- Kategori Sub-Komponen Jaringan Komuniti</w:t>
      </w:r>
      <w:r w:rsidR="002E6043">
        <w:rPr>
          <w:rFonts w:ascii="Arial" w:hAnsi="Arial" w:cs="Arial"/>
          <w:sz w:val="24"/>
          <w:szCs w:val="24"/>
        </w:rPr>
        <w:t xml:space="preserve"> akan bermula pada 4- 22 Sept. 2017 yang akan datang. </w:t>
      </w:r>
    </w:p>
    <w:p w:rsidR="002E6043" w:rsidRDefault="002E6043" w:rsidP="008F74D0">
      <w:pPr>
        <w:jc w:val="both"/>
        <w:rPr>
          <w:rFonts w:ascii="Arial" w:hAnsi="Arial" w:cs="Arial"/>
          <w:sz w:val="24"/>
          <w:szCs w:val="24"/>
        </w:rPr>
      </w:pPr>
    </w:p>
    <w:p w:rsidR="002E6043" w:rsidRDefault="002E6043" w:rsidP="008F74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Bersama -sama ini disertakan Poster, Panduan dan Borang  </w:t>
      </w:r>
      <w:r w:rsidRPr="002E6043">
        <w:rPr>
          <w:rFonts w:ascii="Arial" w:hAnsi="Arial" w:cs="Arial"/>
          <w:sz w:val="24"/>
          <w:szCs w:val="24"/>
        </w:rPr>
        <w:t>Anugerah Penarafan Bintang Pengurusan Pentadbiran 2017- Kategori Sub-Komponen Jaringan Komuniti</w:t>
      </w:r>
      <w:r>
        <w:rPr>
          <w:rFonts w:ascii="Arial" w:hAnsi="Arial" w:cs="Arial"/>
          <w:sz w:val="24"/>
          <w:szCs w:val="24"/>
        </w:rPr>
        <w:t xml:space="preserve"> untuk makluman dan tindakan selanjutnya. Maklumat ini juga boleh diakses </w:t>
      </w:r>
      <w:r w:rsidR="008F74D0">
        <w:rPr>
          <w:rFonts w:ascii="Arial" w:hAnsi="Arial" w:cs="Arial"/>
          <w:sz w:val="24"/>
          <w:szCs w:val="24"/>
        </w:rPr>
        <w:t>melalui</w:t>
      </w:r>
      <w:r>
        <w:rPr>
          <w:rFonts w:ascii="Arial" w:hAnsi="Arial" w:cs="Arial"/>
          <w:sz w:val="24"/>
          <w:szCs w:val="24"/>
        </w:rPr>
        <w:t xml:space="preserve"> laman web Pejabat Timbalan N</w:t>
      </w:r>
      <w:r w:rsidRPr="002E6043">
        <w:rPr>
          <w:rFonts w:ascii="Arial" w:hAnsi="Arial" w:cs="Arial"/>
          <w:sz w:val="24"/>
          <w:szCs w:val="24"/>
        </w:rPr>
        <w:t>aib Canselor (Jaringan Industri dan Masyarakat)</w:t>
      </w:r>
      <w:r>
        <w:rPr>
          <w:rFonts w:ascii="Arial" w:hAnsi="Arial" w:cs="Arial"/>
          <w:sz w:val="24"/>
          <w:szCs w:val="24"/>
        </w:rPr>
        <w:t xml:space="preserve"> </w:t>
      </w:r>
      <w:r w:rsidR="008F74D0">
        <w:rPr>
          <w:rFonts w:ascii="Arial" w:hAnsi="Arial" w:cs="Arial"/>
          <w:sz w:val="24"/>
          <w:szCs w:val="24"/>
        </w:rPr>
        <w:t>-</w:t>
      </w:r>
      <w:hyperlink r:id="rId5" w:history="1">
        <w:r w:rsidRPr="003E5D9A">
          <w:rPr>
            <w:rStyle w:val="Hyperlink"/>
            <w:rFonts w:ascii="Arial" w:hAnsi="Arial" w:cs="Arial"/>
            <w:sz w:val="24"/>
            <w:szCs w:val="24"/>
          </w:rPr>
          <w:t>www.tncjinm.upm.edu.my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8F74D0">
        <w:rPr>
          <w:rFonts w:ascii="Arial" w:hAnsi="Arial" w:cs="Arial"/>
          <w:sz w:val="24"/>
          <w:szCs w:val="24"/>
        </w:rPr>
        <w:t>,  laman Web UCTC – www.uctc.upm.edu.my  serta laman web ISO UPM.</w:t>
      </w:r>
    </w:p>
    <w:p w:rsidR="008F74D0" w:rsidRDefault="008F74D0" w:rsidP="008F74D0">
      <w:pPr>
        <w:jc w:val="both"/>
        <w:rPr>
          <w:rFonts w:ascii="Arial" w:hAnsi="Arial" w:cs="Arial"/>
          <w:sz w:val="24"/>
          <w:szCs w:val="24"/>
        </w:rPr>
      </w:pPr>
    </w:p>
    <w:p w:rsidR="008F74D0" w:rsidRPr="002E6043" w:rsidRDefault="008F74D0" w:rsidP="002E6043">
      <w:pPr>
        <w:rPr>
          <w:rFonts w:ascii="Arial" w:hAnsi="Arial" w:cs="Arial"/>
          <w:sz w:val="24"/>
          <w:szCs w:val="24"/>
        </w:rPr>
      </w:pPr>
    </w:p>
    <w:p w:rsidR="002E6043" w:rsidRPr="002E6043" w:rsidRDefault="002E6043" w:rsidP="002E6043">
      <w:pPr>
        <w:jc w:val="both"/>
        <w:rPr>
          <w:rFonts w:ascii="Arial" w:hAnsi="Arial" w:cs="Arial"/>
          <w:sz w:val="24"/>
          <w:szCs w:val="24"/>
        </w:rPr>
      </w:pPr>
    </w:p>
    <w:sectPr w:rsidR="002E6043" w:rsidRPr="002E6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4D"/>
    <w:rsid w:val="001F34FC"/>
    <w:rsid w:val="002E6043"/>
    <w:rsid w:val="00766A6C"/>
    <w:rsid w:val="0081414D"/>
    <w:rsid w:val="008F74D0"/>
    <w:rsid w:val="009A0A69"/>
    <w:rsid w:val="009A2281"/>
    <w:rsid w:val="00DD25F8"/>
    <w:rsid w:val="00DF0541"/>
    <w:rsid w:val="00E1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6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6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ncjinm.upm.edu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PTJIM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amran samek</dc:creator>
  <cp:lastModifiedBy>UCTC 5</cp:lastModifiedBy>
  <cp:revision>2</cp:revision>
  <dcterms:created xsi:type="dcterms:W3CDTF">2017-08-15T06:36:00Z</dcterms:created>
  <dcterms:modified xsi:type="dcterms:W3CDTF">2017-08-15T06:36:00Z</dcterms:modified>
</cp:coreProperties>
</file>